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4385">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固定式压力容器</w:t>
      </w:r>
      <w:r>
        <w:rPr>
          <w:rFonts w:hint="eastAsia" w:ascii="方正小标宋_GBK" w:hAnsi="方正小标宋_GBK" w:eastAsia="方正小标宋_GBK" w:cs="方正小标宋_GBK"/>
          <w:sz w:val="44"/>
          <w:szCs w:val="44"/>
          <w:lang w:val="en-US" w:eastAsia="zh-CN"/>
        </w:rPr>
        <w:t>年度检查</w:t>
      </w:r>
      <w:r>
        <w:rPr>
          <w:rFonts w:hint="eastAsia" w:ascii="方正小标宋_GBK" w:hAnsi="方正小标宋_GBK" w:eastAsia="方正小标宋_GBK" w:cs="方正小标宋_GBK"/>
          <w:sz w:val="44"/>
          <w:szCs w:val="44"/>
          <w:lang w:eastAsia="zh-CN"/>
        </w:rPr>
        <w:t>技术服务</w:t>
      </w:r>
    </w:p>
    <w:p w14:paraId="08F997F2">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ascii="方正仿宋_GBK" w:hAnsi="方正仿宋_GBK" w:eastAsia="方正仿宋_GBK" w:cs="方正仿宋_GBK"/>
          <w:sz w:val="32"/>
          <w:szCs w:val="32"/>
          <w:lang w:val="en-US" w:eastAsia="zh-CN"/>
        </w:rPr>
      </w:pPr>
      <w:r>
        <w:rPr>
          <w:rFonts w:hint="eastAsia" w:ascii="方正小标宋_GBK" w:hAnsi="方正小标宋_GBK" w:eastAsia="方正小标宋_GBK" w:cs="方正小标宋_GBK"/>
          <w:sz w:val="44"/>
          <w:szCs w:val="44"/>
          <w:lang w:eastAsia="zh-CN"/>
        </w:rPr>
        <w:t>收费项目表</w:t>
      </w:r>
    </w:p>
    <w:p w14:paraId="01443264">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方正仿宋_GBK" w:hAnsi="方正仿宋_GBK" w:eastAsia="方正仿宋_GBK" w:cs="方正仿宋_GBK"/>
          <w:sz w:val="32"/>
          <w:szCs w:val="32"/>
          <w:lang w:val="en-US" w:eastAsia="zh-CN"/>
        </w:rPr>
      </w:pPr>
    </w:p>
    <w:p w14:paraId="262A1904">
      <w:pPr>
        <w:keepNext w:val="0"/>
        <w:keepLines w:val="0"/>
        <w:pageBreakBefore w:val="0"/>
        <w:widowControl w:val="0"/>
        <w:kinsoku/>
        <w:wordWrap/>
        <w:overflowPunct/>
        <w:topLinePunct w:val="0"/>
        <w:autoSpaceDE/>
        <w:autoSpaceDN/>
        <w:bidi w:val="0"/>
        <w:adjustRightInd/>
        <w:snapToGrid/>
        <w:spacing w:line="574" w:lineRule="exact"/>
        <w:ind w:firstLine="422" w:firstLineChars="200"/>
        <w:textAlignment w:val="auto"/>
        <w:rPr>
          <w:rFonts w:hint="eastAsia" w:ascii="方正仿宋_GBK" w:hAnsi="方正仿宋_GBK" w:eastAsia="方正仿宋_GBK" w:cs="方正仿宋_GBK"/>
          <w:sz w:val="32"/>
          <w:szCs w:val="32"/>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396240</wp:posOffset>
                </wp:positionH>
                <wp:positionV relativeFrom="paragraph">
                  <wp:posOffset>364490</wp:posOffset>
                </wp:positionV>
                <wp:extent cx="666115" cy="624840"/>
                <wp:effectExtent l="4445" t="4445" r="15240" b="18415"/>
                <wp:wrapNone/>
                <wp:docPr id="2" name="直接连接符 2"/>
                <wp:cNvGraphicFramePr/>
                <a:graphic xmlns:a="http://schemas.openxmlformats.org/drawingml/2006/main">
                  <a:graphicData uri="http://schemas.microsoft.com/office/word/2010/wordprocessingShape">
                    <wps:wsp>
                      <wps:cNvCnPr/>
                      <wps:spPr>
                        <a:xfrm>
                          <a:off x="1070610" y="4877435"/>
                          <a:ext cx="666115" cy="624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31.2pt;margin-top:28.7pt;height:49.2pt;width:52.45pt;z-index:251660288;mso-width-relative:page;mso-height-relative:page;" filled="f" stroked="t" coordsize="21600,21600" o:gfxdata="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26+sm2QAAAAkBAAAPAAAAAAAAAAEAIAAAACIAAABkcnMvZG93bnJldi54bWxQ&#10;SwECFAAUAAAACACHTuJAyLxANvYBAADCAwAADgAAAAAAAAABACAAAAAoAQAAZHJzL2Uyb0RvYy54&#10;bWxQSwUGAAAAAAYABgBZAQAAkAUAAAAA&#10;">
                <v:fill on="f" focussize="0,0"/>
                <v:stroke weight="1pt" color="#000000 [3200]" miterlimit="8" joinstyle="miter"/>
                <v:imagedata o:title=""/>
                <o:lock v:ext="edit" aspectratio="f"/>
              </v:line>
            </w:pict>
          </mc:Fallback>
        </mc:AlternateContent>
      </w:r>
      <w:r>
        <w:rPr>
          <w:rFonts w:hint="eastAsia" w:ascii="方正仿宋_GBK" w:hAnsi="方正仿宋_GBK" w:eastAsia="方正仿宋_GBK" w:cs="方正仿宋_GBK"/>
          <w:sz w:val="32"/>
          <w:szCs w:val="32"/>
          <w:lang w:val="en-US" w:eastAsia="zh-CN"/>
        </w:rPr>
        <w:t>委托我院进行年度检查的压力容器，收费标准见下表：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1595"/>
        <w:gridCol w:w="1704"/>
        <w:gridCol w:w="1705"/>
        <w:gridCol w:w="1705"/>
      </w:tblGrid>
      <w:tr w14:paraId="51AC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27F7F5A7">
            <w:pPr>
              <w:jc w:val="center"/>
              <w:rPr>
                <w:rFonts w:hint="default"/>
                <w:b/>
                <w:bCs/>
                <w:sz w:val="32"/>
                <w:highlight w:val="none"/>
                <w:lang w:val="en-US"/>
              </w:rPr>
            </w:pPr>
            <w:r>
              <w:rPr>
                <w:b/>
                <w:bCs/>
                <w:sz w:val="32"/>
                <w:highlight w:val="none"/>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149225</wp:posOffset>
                      </wp:positionV>
                      <wp:extent cx="1162050" cy="491490"/>
                      <wp:effectExtent l="2540" t="5715" r="16510" b="17145"/>
                      <wp:wrapNone/>
                      <wp:docPr id="1" name="直接连接符 1"/>
                      <wp:cNvGraphicFramePr/>
                      <a:graphic xmlns:a="http://schemas.openxmlformats.org/drawingml/2006/main">
                        <a:graphicData uri="http://schemas.microsoft.com/office/word/2010/wordprocessingShape">
                          <wps:wsp>
                            <wps:cNvCnPr/>
                            <wps:spPr>
                              <a:xfrm>
                                <a:off x="1565910" y="4477385"/>
                                <a:ext cx="1162050" cy="4914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5.3pt;margin-top:11.75pt;height:38.7pt;width:91.5pt;z-index:251659264;mso-width-relative:page;mso-height-relative:page;" filled="f" stroked="t" coordsize="21600,21600" o:gfxdata="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UetcraAAAACgEAAA8AAAAAAAAAAQAgAAAAIgAAAGRycy9kb3ducmV2LnhtbFBL&#10;AQIUABQAAAAIAIdO4kCCGY9U9AEAAMMDAAAOAAAAAAAAAAEAIAAAACkBAABkcnMvZTJvRG9jLnht&#10;bFBLBQYAAAAABgAGAFkBAACPBQAAAAA=&#10;">
                      <v:fill on="f" focussize="0,0"/>
                      <v:stroke weight="1pt" color="#000000 [3200]" miterlimit="8" joinstyle="miter"/>
                      <v:imagedata o:title=""/>
                      <o:lock v:ext="edit" aspectratio="f"/>
                    </v:line>
                  </w:pict>
                </mc:Fallback>
              </mc:AlternateContent>
            </w:r>
            <w:r>
              <w:rPr>
                <w:rFonts w:hint="eastAsia"/>
                <w:b/>
                <w:bCs/>
                <w:sz w:val="32"/>
                <w:highlight w:val="none"/>
                <w:lang w:val="en-US" w:eastAsia="zh-CN"/>
              </w:rPr>
              <w:t xml:space="preserve">      </w:t>
            </w:r>
            <w:r>
              <w:rPr>
                <w:rFonts w:hint="eastAsia" w:ascii="宋体" w:hAnsi="宋体" w:eastAsia="宋体" w:cs="宋体"/>
                <w:b/>
                <w:bCs/>
                <w:color w:val="auto"/>
                <w:sz w:val="21"/>
                <w:szCs w:val="21"/>
                <w:highlight w:val="none"/>
                <w:vertAlign w:val="baseline"/>
                <w:lang w:val="en-US" w:eastAsia="zh-CN"/>
              </w:rPr>
              <w:t>类别</w:t>
            </w:r>
          </w:p>
          <w:p w14:paraId="06E578FB">
            <w:pPr>
              <w:ind w:firstLine="632" w:firstLineChars="300"/>
              <w:jc w:val="both"/>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标准</w:t>
            </w:r>
          </w:p>
          <w:p w14:paraId="1F2F44F8">
            <w:pPr>
              <w:bidi w:val="0"/>
              <w:jc w:val="left"/>
              <w:rPr>
                <w:rFonts w:hint="eastAsia"/>
                <w:b/>
                <w:bCs/>
                <w:lang w:val="en-US" w:eastAsia="zh-CN"/>
              </w:rPr>
            </w:pPr>
            <w:r>
              <w:rPr>
                <w:rFonts w:hint="eastAsia" w:ascii="宋体" w:hAnsi="宋体" w:eastAsia="宋体" w:cs="宋体"/>
                <w:b/>
                <w:bCs/>
                <w:color w:val="auto"/>
                <w:sz w:val="21"/>
                <w:szCs w:val="21"/>
                <w:highlight w:val="none"/>
                <w:vertAlign w:val="baseline"/>
                <w:lang w:val="en-US" w:eastAsia="zh-CN"/>
              </w:rPr>
              <w:t>容积（m</w:t>
            </w:r>
            <w:r>
              <w:rPr>
                <w:rFonts w:hint="eastAsia" w:ascii="宋体" w:hAnsi="宋体" w:eastAsia="宋体" w:cs="宋体"/>
                <w:b/>
                <w:bCs/>
                <w:color w:val="auto"/>
                <w:sz w:val="21"/>
                <w:szCs w:val="21"/>
                <w:highlight w:val="none"/>
                <w:vertAlign w:val="superscript"/>
                <w:lang w:val="en-US" w:eastAsia="zh-CN"/>
              </w:rPr>
              <w:t>3</w:t>
            </w:r>
            <w:r>
              <w:rPr>
                <w:rFonts w:hint="eastAsia" w:ascii="宋体" w:hAnsi="宋体" w:eastAsia="宋体" w:cs="宋体"/>
                <w:b/>
                <w:bCs/>
                <w:color w:val="auto"/>
                <w:sz w:val="21"/>
                <w:szCs w:val="21"/>
                <w:highlight w:val="none"/>
                <w:vertAlign w:val="baseline"/>
                <w:lang w:val="en-US" w:eastAsia="zh-CN"/>
              </w:rPr>
              <w:t>）</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2F4FB7C3">
            <w:pPr>
              <w:jc w:val="center"/>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I类</w:t>
            </w:r>
            <w:bookmarkStart w:id="0" w:name="_GoBack"/>
            <w:bookmarkEnd w:id="0"/>
            <w:r>
              <w:rPr>
                <w:rFonts w:hint="eastAsia" w:ascii="宋体" w:hAnsi="宋体" w:eastAsia="宋体" w:cs="宋体"/>
                <w:b/>
                <w:bCs/>
                <w:color w:val="auto"/>
                <w:sz w:val="21"/>
                <w:szCs w:val="21"/>
                <w:highlight w:val="none"/>
                <w:vertAlign w:val="baseline"/>
                <w:lang w:val="en-US" w:eastAsia="zh-CN"/>
              </w:rPr>
              <w:t>（元/台）</w:t>
            </w:r>
          </w:p>
        </w:tc>
        <w:tc>
          <w:tcPr>
            <w:tcW w:w="1704" w:type="dxa"/>
            <w:tcBorders>
              <w:top w:val="single" w:color="auto" w:sz="4" w:space="0"/>
              <w:left w:val="single" w:color="auto" w:sz="4" w:space="0"/>
              <w:right w:val="single" w:color="auto" w:sz="4" w:space="0"/>
            </w:tcBorders>
            <w:shd w:val="clear" w:color="auto" w:fill="FFFFFF"/>
            <w:vAlign w:val="center"/>
          </w:tcPr>
          <w:p w14:paraId="044B81CB">
            <w:pPr>
              <w:jc w:val="center"/>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II类</w:t>
            </w:r>
          </w:p>
        </w:tc>
        <w:tc>
          <w:tcPr>
            <w:tcW w:w="1705" w:type="dxa"/>
            <w:tcBorders>
              <w:top w:val="single" w:color="auto" w:sz="4" w:space="0"/>
              <w:left w:val="single" w:color="auto" w:sz="4" w:space="0"/>
              <w:right w:val="single" w:color="auto" w:sz="4" w:space="0"/>
            </w:tcBorders>
            <w:shd w:val="clear" w:color="auto" w:fill="FFFFFF"/>
            <w:vAlign w:val="center"/>
          </w:tcPr>
          <w:p w14:paraId="4B4A5A75">
            <w:pPr>
              <w:jc w:val="center"/>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III类</w:t>
            </w: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08E6E6D3">
            <w:pPr>
              <w:jc w:val="center"/>
              <w:rPr>
                <w:rFonts w:hint="eastAsia" w:ascii="宋体" w:hAnsi="宋体" w:eastAsia="宋体" w:cs="宋体"/>
                <w:b/>
                <w:bCs/>
                <w:color w:val="000000"/>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5A46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59B4BBD1">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v&lt;1</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3DEC3254">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230</w:t>
            </w:r>
          </w:p>
        </w:tc>
        <w:tc>
          <w:tcPr>
            <w:tcW w:w="1704" w:type="dxa"/>
            <w:vMerge w:val="restart"/>
            <w:tcBorders>
              <w:top w:val="single" w:color="auto" w:sz="4" w:space="0"/>
              <w:left w:val="single" w:color="auto" w:sz="4" w:space="0"/>
              <w:right w:val="single" w:color="auto" w:sz="4" w:space="0"/>
            </w:tcBorders>
            <w:shd w:val="clear" w:color="auto" w:fill="FFFFFF"/>
            <w:vAlign w:val="center"/>
          </w:tcPr>
          <w:p w14:paraId="25139D81">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按I类加收40%</w:t>
            </w:r>
          </w:p>
        </w:tc>
        <w:tc>
          <w:tcPr>
            <w:tcW w:w="1705" w:type="dxa"/>
            <w:vMerge w:val="restart"/>
            <w:tcBorders>
              <w:top w:val="single" w:color="auto" w:sz="4" w:space="0"/>
              <w:left w:val="single" w:color="auto" w:sz="4" w:space="0"/>
              <w:right w:val="single" w:color="auto" w:sz="4" w:space="0"/>
            </w:tcBorders>
            <w:shd w:val="clear" w:color="auto" w:fill="FFFFFF"/>
            <w:vAlign w:val="center"/>
          </w:tcPr>
          <w:p w14:paraId="05BBC950">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按I类加收80%</w:t>
            </w: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145FFC76">
            <w:pPr>
              <w:jc w:val="center"/>
              <w:rPr>
                <w:rFonts w:hint="eastAsia" w:ascii="宋体" w:hAnsi="宋体" w:eastAsia="宋体" w:cs="宋体"/>
                <w:color w:val="000000"/>
                <w:sz w:val="21"/>
                <w:szCs w:val="21"/>
                <w:highlight w:val="none"/>
                <w:vertAlign w:val="baseline"/>
                <w:lang w:val="en-US" w:eastAsia="zh-CN"/>
              </w:rPr>
            </w:pPr>
          </w:p>
        </w:tc>
      </w:tr>
      <w:tr w14:paraId="457D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20CB1D2B">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1≤v&lt;5</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7A7DC759">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350</w:t>
            </w:r>
          </w:p>
        </w:tc>
        <w:tc>
          <w:tcPr>
            <w:tcW w:w="1704" w:type="dxa"/>
            <w:vMerge w:val="continue"/>
            <w:tcBorders>
              <w:left w:val="single" w:color="auto" w:sz="4" w:space="0"/>
              <w:right w:val="single" w:color="auto" w:sz="4" w:space="0"/>
            </w:tcBorders>
            <w:shd w:val="clear" w:color="auto" w:fill="FFFFFF"/>
            <w:vAlign w:val="center"/>
          </w:tcPr>
          <w:p w14:paraId="11312528">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0B0B9313">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3B53A27D">
            <w:pPr>
              <w:jc w:val="center"/>
              <w:rPr>
                <w:rFonts w:hint="eastAsia" w:ascii="宋体" w:hAnsi="宋体" w:eastAsia="宋体" w:cs="宋体"/>
                <w:color w:val="000000"/>
                <w:sz w:val="21"/>
                <w:szCs w:val="21"/>
                <w:highlight w:val="none"/>
                <w:vertAlign w:val="baseline"/>
                <w:lang w:val="en-US" w:eastAsia="zh-CN"/>
              </w:rPr>
            </w:pPr>
          </w:p>
        </w:tc>
      </w:tr>
      <w:tr w14:paraId="16E9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0D556B81">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5≤v&lt;10</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233AE1B6">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500</w:t>
            </w:r>
          </w:p>
        </w:tc>
        <w:tc>
          <w:tcPr>
            <w:tcW w:w="1704" w:type="dxa"/>
            <w:vMerge w:val="continue"/>
            <w:tcBorders>
              <w:left w:val="single" w:color="auto" w:sz="4" w:space="0"/>
              <w:right w:val="single" w:color="auto" w:sz="4" w:space="0"/>
            </w:tcBorders>
            <w:shd w:val="clear" w:color="auto" w:fill="FFFFFF"/>
            <w:vAlign w:val="center"/>
          </w:tcPr>
          <w:p w14:paraId="04705373">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6D5E270E">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2EA2B06E">
            <w:pPr>
              <w:jc w:val="center"/>
              <w:rPr>
                <w:rFonts w:hint="eastAsia" w:ascii="宋体" w:hAnsi="宋体" w:eastAsia="宋体" w:cs="宋体"/>
                <w:color w:val="000000"/>
                <w:sz w:val="21"/>
                <w:szCs w:val="21"/>
                <w:highlight w:val="none"/>
                <w:vertAlign w:val="baseline"/>
                <w:lang w:val="en-US" w:eastAsia="zh-CN"/>
              </w:rPr>
            </w:pPr>
          </w:p>
        </w:tc>
      </w:tr>
      <w:tr w14:paraId="627A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7CEEE6A2">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10≤v&lt;20</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6AB3017E">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800</w:t>
            </w:r>
          </w:p>
        </w:tc>
        <w:tc>
          <w:tcPr>
            <w:tcW w:w="1704" w:type="dxa"/>
            <w:vMerge w:val="continue"/>
            <w:tcBorders>
              <w:left w:val="single" w:color="auto" w:sz="4" w:space="0"/>
              <w:right w:val="single" w:color="auto" w:sz="4" w:space="0"/>
            </w:tcBorders>
            <w:shd w:val="clear" w:color="auto" w:fill="FFFFFF"/>
            <w:vAlign w:val="center"/>
          </w:tcPr>
          <w:p w14:paraId="7E3E4699">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0F3290C0">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766693D1">
            <w:pPr>
              <w:jc w:val="center"/>
              <w:rPr>
                <w:rFonts w:hint="eastAsia" w:ascii="宋体" w:hAnsi="宋体" w:eastAsia="宋体" w:cs="宋体"/>
                <w:color w:val="000000"/>
                <w:sz w:val="21"/>
                <w:szCs w:val="21"/>
                <w:highlight w:val="none"/>
                <w:vertAlign w:val="baseline"/>
                <w:lang w:val="en-US" w:eastAsia="zh-CN"/>
              </w:rPr>
            </w:pPr>
          </w:p>
        </w:tc>
      </w:tr>
      <w:tr w14:paraId="3A6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6103E2FB">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20≤v&lt;50</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4A93B3D8">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1200</w:t>
            </w:r>
          </w:p>
        </w:tc>
        <w:tc>
          <w:tcPr>
            <w:tcW w:w="1704" w:type="dxa"/>
            <w:vMerge w:val="continue"/>
            <w:tcBorders>
              <w:left w:val="single" w:color="auto" w:sz="4" w:space="0"/>
              <w:right w:val="single" w:color="auto" w:sz="4" w:space="0"/>
            </w:tcBorders>
            <w:shd w:val="clear" w:color="auto" w:fill="FFFFFF"/>
            <w:vAlign w:val="center"/>
          </w:tcPr>
          <w:p w14:paraId="2881B64E">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233600C8">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45DB7B48">
            <w:pPr>
              <w:jc w:val="center"/>
              <w:rPr>
                <w:rFonts w:hint="eastAsia" w:ascii="宋体" w:hAnsi="宋体" w:eastAsia="宋体" w:cs="宋体"/>
                <w:color w:val="000000"/>
                <w:sz w:val="21"/>
                <w:szCs w:val="21"/>
                <w:highlight w:val="none"/>
                <w:vertAlign w:val="baseline"/>
                <w:lang w:val="en-US" w:eastAsia="zh-CN"/>
              </w:rPr>
            </w:pPr>
          </w:p>
        </w:tc>
      </w:tr>
      <w:tr w14:paraId="030E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658564C9">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50≤v&lt;100</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338D5DE4">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1800</w:t>
            </w:r>
          </w:p>
        </w:tc>
        <w:tc>
          <w:tcPr>
            <w:tcW w:w="1704" w:type="dxa"/>
            <w:vMerge w:val="continue"/>
            <w:tcBorders>
              <w:left w:val="single" w:color="auto" w:sz="4" w:space="0"/>
              <w:right w:val="single" w:color="auto" w:sz="4" w:space="0"/>
            </w:tcBorders>
            <w:shd w:val="clear" w:color="auto" w:fill="FFFFFF"/>
            <w:vAlign w:val="center"/>
          </w:tcPr>
          <w:p w14:paraId="752ACFF5">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1B076B81">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77F77EB2">
            <w:pPr>
              <w:jc w:val="center"/>
              <w:rPr>
                <w:rFonts w:hint="eastAsia" w:ascii="宋体" w:hAnsi="宋体" w:eastAsia="宋体" w:cs="宋体"/>
                <w:color w:val="000000"/>
                <w:sz w:val="21"/>
                <w:szCs w:val="21"/>
                <w:highlight w:val="none"/>
                <w:vertAlign w:val="baseline"/>
                <w:lang w:val="en-US" w:eastAsia="zh-CN"/>
              </w:rPr>
            </w:pPr>
          </w:p>
        </w:tc>
      </w:tr>
      <w:tr w14:paraId="7CC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Borders>
              <w:top w:val="single" w:color="auto" w:sz="4" w:space="0"/>
              <w:left w:val="single" w:color="auto" w:sz="4" w:space="0"/>
              <w:bottom w:val="single" w:color="auto" w:sz="4" w:space="0"/>
              <w:right w:val="single" w:color="auto" w:sz="4" w:space="0"/>
            </w:tcBorders>
            <w:shd w:val="clear" w:color="auto" w:fill="FFFFFF"/>
            <w:vAlign w:val="center"/>
          </w:tcPr>
          <w:p w14:paraId="11CE5E2E">
            <w:pPr>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v≧100</w:t>
            </w:r>
          </w:p>
        </w:tc>
        <w:tc>
          <w:tcPr>
            <w:tcW w:w="1595" w:type="dxa"/>
            <w:tcBorders>
              <w:top w:val="single" w:color="auto" w:sz="4" w:space="0"/>
              <w:left w:val="single" w:color="auto" w:sz="4" w:space="0"/>
              <w:bottom w:val="single" w:color="auto" w:sz="4" w:space="0"/>
              <w:right w:val="single" w:color="auto" w:sz="4" w:space="0"/>
            </w:tcBorders>
            <w:shd w:val="clear" w:color="auto" w:fill="FFFFFF"/>
            <w:vAlign w:val="center"/>
          </w:tcPr>
          <w:p w14:paraId="34B7CB28">
            <w:pPr>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900+10（V-10）</w:t>
            </w:r>
          </w:p>
        </w:tc>
        <w:tc>
          <w:tcPr>
            <w:tcW w:w="1704" w:type="dxa"/>
            <w:vMerge w:val="continue"/>
            <w:tcBorders>
              <w:left w:val="single" w:color="auto" w:sz="4" w:space="0"/>
              <w:right w:val="single" w:color="auto" w:sz="4" w:space="0"/>
            </w:tcBorders>
            <w:shd w:val="clear" w:color="auto" w:fill="FFFFFF"/>
            <w:vAlign w:val="center"/>
          </w:tcPr>
          <w:p w14:paraId="1F5C5B0D">
            <w:pPr>
              <w:jc w:val="center"/>
              <w:rPr>
                <w:rFonts w:hint="eastAsia" w:ascii="宋体" w:hAnsi="宋体" w:eastAsia="宋体" w:cs="宋体"/>
                <w:color w:val="000000"/>
                <w:sz w:val="21"/>
                <w:szCs w:val="21"/>
                <w:highlight w:val="none"/>
                <w:vertAlign w:val="baseline"/>
                <w:lang w:val="en-US" w:eastAsia="zh-CN"/>
              </w:rPr>
            </w:pPr>
          </w:p>
        </w:tc>
        <w:tc>
          <w:tcPr>
            <w:tcW w:w="1705" w:type="dxa"/>
            <w:vMerge w:val="continue"/>
            <w:tcBorders>
              <w:left w:val="single" w:color="auto" w:sz="4" w:space="0"/>
              <w:right w:val="single" w:color="auto" w:sz="4" w:space="0"/>
            </w:tcBorders>
            <w:shd w:val="clear" w:color="auto" w:fill="FFFFFF"/>
            <w:vAlign w:val="center"/>
          </w:tcPr>
          <w:p w14:paraId="0F59FA81">
            <w:pPr>
              <w:jc w:val="center"/>
              <w:rPr>
                <w:rFonts w:hint="eastAsia" w:ascii="宋体" w:hAnsi="宋体" w:eastAsia="宋体" w:cs="宋体"/>
                <w:color w:val="000000"/>
                <w:sz w:val="21"/>
                <w:szCs w:val="21"/>
                <w:highlight w:val="none"/>
                <w:vertAlign w:val="baseline"/>
                <w:lang w:val="en-US" w:eastAsia="zh-CN"/>
              </w:rPr>
            </w:pPr>
          </w:p>
        </w:tc>
        <w:tc>
          <w:tcPr>
            <w:tcW w:w="1705" w:type="dxa"/>
            <w:tcBorders>
              <w:top w:val="single" w:color="auto" w:sz="4" w:space="0"/>
              <w:left w:val="single" w:color="auto" w:sz="4" w:space="0"/>
              <w:bottom w:val="single" w:color="auto" w:sz="4" w:space="0"/>
              <w:right w:val="single" w:color="auto" w:sz="4" w:space="0"/>
            </w:tcBorders>
            <w:shd w:val="clear" w:color="auto" w:fill="FFFFFF"/>
            <w:vAlign w:val="center"/>
          </w:tcPr>
          <w:p w14:paraId="43D8FAAE">
            <w:pPr>
              <w:jc w:val="center"/>
              <w:rPr>
                <w:rFonts w:hint="eastAsia" w:ascii="宋体" w:hAnsi="宋体" w:eastAsia="宋体" w:cs="宋体"/>
                <w:color w:val="000000"/>
                <w:sz w:val="21"/>
                <w:szCs w:val="21"/>
                <w:highlight w:val="none"/>
                <w:vertAlign w:val="baseline"/>
                <w:lang w:val="en-US" w:eastAsia="zh-CN"/>
              </w:rPr>
            </w:pPr>
          </w:p>
        </w:tc>
      </w:tr>
      <w:tr w14:paraId="2585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13C5BC5C">
            <w:pPr>
              <w:jc w:val="both"/>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b/>
                <w:bCs/>
                <w:color w:val="000000"/>
                <w:sz w:val="21"/>
                <w:szCs w:val="21"/>
                <w:highlight w:val="none"/>
                <w:vertAlign w:val="baseline"/>
                <w:lang w:val="en-US" w:eastAsia="zh-CN"/>
              </w:rPr>
              <w:t>注：</w:t>
            </w:r>
            <w:r>
              <w:rPr>
                <w:rFonts w:hint="eastAsia" w:ascii="宋体" w:hAnsi="宋体" w:eastAsia="宋体" w:cs="宋体"/>
                <w:color w:val="000000"/>
                <w:sz w:val="21"/>
                <w:szCs w:val="21"/>
                <w:highlight w:val="none"/>
                <w:vertAlign w:val="baseline"/>
                <w:lang w:val="en-US" w:eastAsia="zh-CN"/>
              </w:rPr>
              <w:t>检验过程中如需增加特殊检验项目，与委托单位协商收取。</w:t>
            </w:r>
          </w:p>
        </w:tc>
      </w:tr>
    </w:tbl>
    <w:p w14:paraId="70023B0F">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依据TSG 21-2016 《固定式压力容器安全技术监察规程》 7.1.5.2条规定，使用单位每年对所使用的压力容器至少进行1次年度检查，年度检查按照TSG 21-2016 《固定式压力容器安全技术监察规程》7.2要求进行。年度检查工作可以由压力容器使用单位安全管理人员经过专业培训的作业人员进行，也可以委托有资质的特种设备检验机构进行。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3ZDc4ZWJkMmY4YjQ2NzcyM2NkNDZhMzQ4ZDM4ODUifQ=="/>
    <w:docVar w:name="KSO_WPS_MARK_KEY" w:val="96acab0e-de39-4e55-98a3-69eda8e6c113"/>
  </w:docVars>
  <w:rsids>
    <w:rsidRoot w:val="00000000"/>
    <w:rsid w:val="048735A5"/>
    <w:rsid w:val="04B47949"/>
    <w:rsid w:val="06C04B42"/>
    <w:rsid w:val="07E07279"/>
    <w:rsid w:val="0E734DAE"/>
    <w:rsid w:val="12D85F79"/>
    <w:rsid w:val="12F91530"/>
    <w:rsid w:val="13103CCD"/>
    <w:rsid w:val="15263E35"/>
    <w:rsid w:val="178C0D04"/>
    <w:rsid w:val="17B9407C"/>
    <w:rsid w:val="1C367A66"/>
    <w:rsid w:val="2199663C"/>
    <w:rsid w:val="22EA5BD8"/>
    <w:rsid w:val="2444388B"/>
    <w:rsid w:val="2A134397"/>
    <w:rsid w:val="2C8561A9"/>
    <w:rsid w:val="2E6A48F6"/>
    <w:rsid w:val="31163769"/>
    <w:rsid w:val="388614C8"/>
    <w:rsid w:val="38C80E86"/>
    <w:rsid w:val="39221D6D"/>
    <w:rsid w:val="39EB6DAE"/>
    <w:rsid w:val="3AD60D98"/>
    <w:rsid w:val="3B9C785C"/>
    <w:rsid w:val="41F106B9"/>
    <w:rsid w:val="45AF0BE0"/>
    <w:rsid w:val="472F5BD9"/>
    <w:rsid w:val="48A637D2"/>
    <w:rsid w:val="4C95426F"/>
    <w:rsid w:val="58801E3E"/>
    <w:rsid w:val="5F870A6F"/>
    <w:rsid w:val="5FAB1581"/>
    <w:rsid w:val="60DD43BA"/>
    <w:rsid w:val="65123962"/>
    <w:rsid w:val="651F6ECF"/>
    <w:rsid w:val="6B6D2EB2"/>
    <w:rsid w:val="6DD17E6E"/>
    <w:rsid w:val="70313C65"/>
    <w:rsid w:val="709972E7"/>
    <w:rsid w:val="77EC1C4C"/>
    <w:rsid w:val="78D37978"/>
    <w:rsid w:val="7A35410F"/>
    <w:rsid w:val="7D030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378</Words>
  <Characters>480</Characters>
  <Lines>0</Lines>
  <Paragraphs>0</Paragraphs>
  <TotalTime>5</TotalTime>
  <ScaleCrop>false</ScaleCrop>
  <LinksUpToDate>false</LinksUpToDate>
  <CharactersWithSpaces>486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2023-02-06T02:05:00Z</dcterms:created>
  <dc:creator>Administrator</dc:creator>
  <cp:lastModifiedBy>Administrator</cp:lastModifiedBy>
  <cp:lastPrinted>2023-06-20T01:49:00Z</cp:lastPrinted>
  <dcterms:modified xsi:type="dcterms:W3CDTF">2025-05-13T09:37:16Z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C0F2C8EC7E03426D8E96A1D15F21BF7C_13</vt:lpwstr>
  </property>
  <property fmtid="{D5CDD505-2E9C-101B-9397-08002B2CF9AE}" pid="4" name="KSOTemplateDocerSaveRecord">
    <vt:lpwstr>eyJoZGlkIjoiMjA3ZDc4ZWJkMmY4YjQ2NzcyM2NkNDZhMzQ4ZDM4ODUiLCJ1c2VySWQiOiI1ODMzNzA1MDYifQ==</vt:lpwstr>
  </property>
</Properties>
</file>