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黑体" w:cs="黑体"/>
          <w:sz w:val="28"/>
          <w:szCs w:val="28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</w:t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黑体_GBK" w:cs="方正黑体_GBK"/>
          <w:sz w:val="32"/>
          <w:szCs w:val="32"/>
        </w:rPr>
        <w:t>：</w:t>
      </w:r>
    </w:p>
    <w:p>
      <w:pPr>
        <w:jc w:val="center"/>
        <w:rPr>
          <w:rFonts w:ascii="宋体" w:hAnsi="宋体" w:eastAsia="方正小标宋简体" w:cs="Times New Roman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2021年度项目支出绩效自评表</w:t>
      </w:r>
    </w:p>
    <w:p>
      <w:pPr>
        <w:widowControl/>
        <w:jc w:val="left"/>
        <w:rPr>
          <w:rFonts w:hint="eastAsia" w:ascii="宋体" w:hAnsi="宋体" w:eastAsia="楷体_GB2312" w:cs="楷体_GB2312"/>
          <w:kern w:val="0"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单位名称：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保山市质量技术监督综合检测中心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15"/>
          <w:szCs w:val="15"/>
        </w:rPr>
        <w:t xml:space="preserve">             </w:t>
      </w:r>
      <w:r>
        <w:rPr>
          <w:rFonts w:hint="eastAsia" w:ascii="宋体" w:hAnsi="宋体" w:cs="宋体"/>
          <w:kern w:val="0"/>
          <w:sz w:val="15"/>
          <w:szCs w:val="15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填报日期：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2022年5月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日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特种设备监督检验成本补助经费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保山市质量技术监督综合检测中心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保山市质量技术监督综合检测中心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、部门预算项目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直专项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3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对下转移支付项目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、持续性项目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、新增性项目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预算数（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执行数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执行率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分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93.60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37.44%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年初目标值（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实际完成值（</w:t>
            </w:r>
            <w:r>
              <w:rPr>
                <w:rFonts w:ascii="宋体" w:hAnsi="宋体" w:eastAsia="仿宋_GB2312" w:cs="仿宋_GB2312"/>
                <w:kern w:val="0"/>
                <w:sz w:val="21"/>
                <w:szCs w:val="21"/>
              </w:rPr>
              <w:t>B</w:t>
            </w: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特种设备检验检测台件数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10384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台（件）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12662台（件）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设备验收合格率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设备验收完成时间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2021年12月31日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2021年12月31日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成本控制数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250万元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93.60万元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经济效益指标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非税收入完成额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500万元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565.72万元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保障当地特种设备安全，提供检验检测服务。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效果显著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效果显著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客户异议解决率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送检单位满意率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客户投诉次数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≦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5次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87.49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val="en-US" w:eastAsia="zh-CN"/>
              </w:rPr>
              <w:t>因财政资金紧张，年中对单位项目资金进行调整，减少实际到账额度。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1"/>
                <w:szCs w:val="21"/>
                <w:lang w:eastAsia="zh-CN"/>
              </w:rPr>
              <w:t>根据单位用款计划需求，加强与财政沟通，合理减少财政调整项目资金额度，确保单位正常运转及符合发展需求。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仿宋_GB2312" w:cs="Times New Roman"/>
          <w:kern w:val="0"/>
          <w:sz w:val="21"/>
          <w:szCs w:val="21"/>
        </w:rPr>
      </w:pPr>
      <w:r>
        <w:rPr>
          <w:rFonts w:hint="eastAsia" w:ascii="宋体" w:hAnsi="宋体" w:eastAsia="仿宋_GB2312" w:cs="仿宋_GB2312"/>
          <w:kern w:val="0"/>
          <w:sz w:val="21"/>
          <w:szCs w:val="21"/>
        </w:rPr>
        <w:t>备注：</w:t>
      </w:r>
      <w:r>
        <w:rPr>
          <w:rFonts w:ascii="宋体" w:hAnsi="宋体" w:eastAsia="仿宋_GB2312" w:cs="仿宋_GB2312"/>
          <w:kern w:val="0"/>
          <w:sz w:val="21"/>
          <w:szCs w:val="21"/>
        </w:rPr>
        <w:t>1.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预算执行情况口径：预算数为调整后财政资金总额（包括上年结余结转），执行数为资金使用单位财政资金实际支出数。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="仿宋_GB2312" w:cs="Times New Roman"/>
          <w:kern w:val="0"/>
          <w:sz w:val="21"/>
          <w:szCs w:val="21"/>
        </w:rPr>
      </w:pPr>
      <w:r>
        <w:rPr>
          <w:rFonts w:ascii="宋体" w:hAnsi="宋体" w:eastAsia="仿宋_GB2312" w:cs="仿宋_GB2312"/>
          <w:kern w:val="0"/>
          <w:sz w:val="21"/>
          <w:szCs w:val="21"/>
        </w:rPr>
        <w:t>2.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仿宋_GB2312" w:cs="仿宋_GB2312"/>
          <w:kern w:val="0"/>
          <w:sz w:val="21"/>
          <w:szCs w:val="21"/>
        </w:rPr>
        <w:t>X,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得分</w:t>
      </w:r>
      <w:r>
        <w:rPr>
          <w:rFonts w:ascii="宋体" w:hAnsi="宋体" w:eastAsia="仿宋_GB2312" w:cs="仿宋_GB2312"/>
          <w:kern w:val="0"/>
          <w:sz w:val="21"/>
          <w:szCs w:val="21"/>
        </w:rPr>
        <w:t>=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权重</w:t>
      </w:r>
      <w:r>
        <w:rPr>
          <w:rFonts w:ascii="宋体" w:hAnsi="宋体" w:eastAsia="仿宋_GB2312" w:cs="仿宋_GB2312"/>
          <w:kern w:val="0"/>
          <w:sz w:val="21"/>
          <w:szCs w:val="21"/>
        </w:rPr>
        <w:t>*B/A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），反向指标（即目标值为≤</w:t>
      </w:r>
      <w:r>
        <w:rPr>
          <w:rFonts w:ascii="宋体" w:hAnsi="宋体" w:eastAsia="仿宋_GB2312" w:cs="仿宋_GB2312"/>
          <w:kern w:val="0"/>
          <w:sz w:val="21"/>
          <w:szCs w:val="21"/>
        </w:rPr>
        <w:t>X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，得分</w:t>
      </w:r>
      <w:r>
        <w:rPr>
          <w:rFonts w:ascii="宋体" w:hAnsi="宋体" w:eastAsia="仿宋_GB2312" w:cs="仿宋_GB2312"/>
          <w:kern w:val="0"/>
          <w:sz w:val="21"/>
          <w:szCs w:val="21"/>
        </w:rPr>
        <w:t>=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权重</w:t>
      </w:r>
      <w:r>
        <w:rPr>
          <w:rFonts w:ascii="宋体" w:hAnsi="宋体" w:eastAsia="仿宋_GB2312" w:cs="仿宋_GB2312"/>
          <w:kern w:val="0"/>
          <w:sz w:val="21"/>
          <w:szCs w:val="21"/>
        </w:rPr>
        <w:t>*A/B）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，得分不得突破权重总额。定量指标先汇总完成数，再计算得分。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="仿宋_GB2312" w:cs="Times New Roman"/>
          <w:kern w:val="0"/>
          <w:sz w:val="21"/>
          <w:szCs w:val="21"/>
        </w:rPr>
      </w:pPr>
      <w:r>
        <w:rPr>
          <w:rFonts w:ascii="宋体" w:hAnsi="宋体" w:eastAsia="仿宋_GB2312" w:cs="仿宋_GB2312"/>
          <w:kern w:val="0"/>
          <w:sz w:val="21"/>
          <w:szCs w:val="21"/>
        </w:rPr>
        <w:t>3.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仿宋_GB2312" w:cs="仿宋_GB2312"/>
          <w:kern w:val="0"/>
          <w:sz w:val="21"/>
          <w:szCs w:val="21"/>
        </w:rPr>
        <w:t>100-80%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（含</w:t>
      </w:r>
      <w:r>
        <w:rPr>
          <w:rFonts w:ascii="宋体" w:hAnsi="宋体" w:eastAsia="仿宋_GB2312" w:cs="仿宋_GB2312"/>
          <w:kern w:val="0"/>
          <w:sz w:val="21"/>
          <w:szCs w:val="21"/>
        </w:rPr>
        <w:t>80%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）、</w:t>
      </w:r>
      <w:r>
        <w:rPr>
          <w:rFonts w:ascii="宋体" w:hAnsi="宋体" w:eastAsia="仿宋_GB2312" w:cs="仿宋_GB2312"/>
          <w:kern w:val="0"/>
          <w:sz w:val="21"/>
          <w:szCs w:val="21"/>
        </w:rPr>
        <w:t>80-50%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（含</w:t>
      </w:r>
      <w:r>
        <w:rPr>
          <w:rFonts w:ascii="宋体" w:hAnsi="宋体" w:eastAsia="仿宋_GB2312" w:cs="仿宋_GB2312"/>
          <w:kern w:val="0"/>
          <w:sz w:val="21"/>
          <w:szCs w:val="21"/>
        </w:rPr>
        <w:t>50%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）、</w:t>
      </w:r>
      <w:r>
        <w:rPr>
          <w:rFonts w:ascii="宋体" w:hAnsi="宋体" w:eastAsia="仿宋_GB2312" w:cs="仿宋_GB2312"/>
          <w:kern w:val="0"/>
          <w:sz w:val="21"/>
          <w:szCs w:val="21"/>
        </w:rPr>
        <w:t>50-0%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合理确定分值。汇总时，以资金额度为权重，对分值进行加权平均计算。</w:t>
      </w:r>
    </w:p>
    <w:p>
      <w:r>
        <w:rPr>
          <w:rFonts w:ascii="宋体" w:hAnsi="宋体" w:eastAsia="仿宋_GB2312" w:cs="仿宋_GB2312"/>
          <w:kern w:val="0"/>
          <w:sz w:val="21"/>
          <w:szCs w:val="21"/>
        </w:rPr>
        <w:t>4.</w:t>
      </w:r>
      <w:r>
        <w:rPr>
          <w:rFonts w:hint="eastAsia" w:ascii="宋体" w:hAnsi="宋体" w:eastAsia="仿宋_GB2312" w:cs="仿宋_GB2312"/>
          <w:kern w:val="0"/>
          <w:sz w:val="21"/>
          <w:szCs w:val="21"/>
        </w:rPr>
        <w:t>基于经济性和必要性等因素考虑，满意度指标暂可不作为必评指标。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2022-06-29T02:54:07Z</dcterms:created>
  <dc:creator>Administrator</dc:creator>
  <cp:lastModifiedBy>Administrator</cp:lastModifiedBy>
  <dcterms:modified xsi:type="dcterms:W3CDTF">2022-06-29T02:54:14Z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