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925EB7" w:rsidRDefault="00F54429">
      <w:pPr>
        <w:spacing w:line="594" w:lineRule="exact"/>
        <w:rPr>
          <w:rFonts w:ascii="黑体" w:eastAsia="黑体" w:hAnsi="黑体"/>
          <w:sz w:val="32"/>
          <w:szCs w:val="32"/>
        </w:rPr>
      </w:pPr>
      <w:r>
        <w:rPr>
          <w:rFonts w:ascii="黑体" w:eastAsia="黑体" w:hAnsi="黑体" w:hint="eastAsia"/>
          <w:sz w:val="32"/>
          <w:szCs w:val="32"/>
        </w:rPr>
        <w:t>附件1</w:t>
      </w:r>
    </w:p>
    <w:p w:rsidR="00925EB7" w:rsidRDefault="00925EB7">
      <w:pPr>
        <w:spacing w:line="594" w:lineRule="exact"/>
        <w:rPr>
          <w:rFonts w:ascii="黑体" w:eastAsia="黑体" w:hAnsi="黑体"/>
          <w:sz w:val="32"/>
          <w:szCs w:val="32"/>
        </w:rPr>
      </w:pPr>
    </w:p>
    <w:p w:rsidR="00925EB7" w:rsidRDefault="00F54429">
      <w:pPr>
        <w:spacing w:line="594" w:lineRule="exact"/>
        <w:jc w:val="center"/>
        <w:rPr>
          <w:rFonts w:ascii="方正小标宋简体" w:eastAsia="方正小标宋简体"/>
          <w:spacing w:val="-12"/>
          <w:sz w:val="44"/>
          <w:szCs w:val="44"/>
        </w:rPr>
      </w:pPr>
      <w:r>
        <w:rPr>
          <w:rFonts w:ascii="方正小标宋简体" w:eastAsia="方正小标宋简体" w:hint="eastAsia"/>
          <w:spacing w:val="-12"/>
          <w:sz w:val="44"/>
          <w:szCs w:val="44"/>
        </w:rPr>
        <w:t>部分不合格项目的小知识</w:t>
      </w:r>
    </w:p>
    <w:p w:rsidR="00925EB7" w:rsidRDefault="00925EB7">
      <w:pPr>
        <w:spacing w:line="594" w:lineRule="exact"/>
        <w:jc w:val="center"/>
        <w:rPr>
          <w:rFonts w:ascii="方正小标宋简体" w:eastAsia="方正小标宋简体"/>
          <w:spacing w:val="-12"/>
          <w:sz w:val="44"/>
          <w:szCs w:val="44"/>
        </w:rPr>
      </w:pPr>
    </w:p>
    <w:p w:rsidR="00925EB7" w:rsidRDefault="00F54429">
      <w:pPr>
        <w:spacing w:line="594" w:lineRule="exact"/>
        <w:ind w:firstLineChars="200" w:firstLine="640"/>
        <w:rPr>
          <w:rFonts w:ascii="黑体" w:eastAsia="黑体" w:hAnsi="黑体"/>
          <w:sz w:val="32"/>
          <w:szCs w:val="32"/>
        </w:rPr>
      </w:pPr>
      <w:r>
        <w:rPr>
          <w:rFonts w:ascii="黑体" w:eastAsia="黑体" w:hAnsi="黑体"/>
          <w:sz w:val="32"/>
          <w:szCs w:val="32"/>
        </w:rPr>
        <w:t>一、菌落总数</w:t>
      </w:r>
    </w:p>
    <w:p w:rsidR="00925EB7" w:rsidRDefault="00F54429">
      <w:pPr>
        <w:spacing w:line="594" w:lineRule="exact"/>
        <w:ind w:firstLineChars="200" w:firstLine="640"/>
        <w:rPr>
          <w:rFonts w:ascii="Times New Roman" w:eastAsia="仿宋_GB2312" w:hAnsi="Times New Roman" w:cs="Times New Roman"/>
          <w:spacing w:val="-12"/>
          <w:sz w:val="32"/>
          <w:szCs w:val="32"/>
        </w:rPr>
      </w:pPr>
      <w:r>
        <w:rPr>
          <w:rFonts w:ascii="Times New Roman" w:eastAsia="仿宋_GB2312" w:hAnsi="Times New Roman" w:cs="Times New Roman"/>
          <w:sz w:val="32"/>
          <w:szCs w:val="32"/>
          <w:shd w:val="clear" w:color="auto" w:fill="FFFFFF"/>
        </w:rPr>
        <w:t>菌落总数是指示性微生物指标，主要用来评价食品清洁度，反映食品在生产过程中是否符合卫生要求。《食品安全国家标准</w:t>
      </w:r>
      <w:r>
        <w:rPr>
          <w:rFonts w:ascii="Times New Roman" w:eastAsia="仿宋_GB2312" w:hAnsi="Times New Roman" w:cs="Times New Roman"/>
          <w:sz w:val="32"/>
          <w:szCs w:val="32"/>
          <w:shd w:val="clear" w:color="auto" w:fill="FFFFFF"/>
        </w:rPr>
        <w:t xml:space="preserve"> </w:t>
      </w:r>
      <w:r>
        <w:rPr>
          <w:rFonts w:ascii="Times New Roman" w:eastAsia="仿宋_GB2312" w:hAnsi="Times New Roman" w:cs="Times New Roman"/>
          <w:sz w:val="32"/>
          <w:szCs w:val="32"/>
          <w:shd w:val="clear" w:color="auto" w:fill="FFFFFF"/>
        </w:rPr>
        <w:t>糕点、面包》</w:t>
      </w:r>
      <w:r>
        <w:rPr>
          <w:rFonts w:ascii="Times New Roman" w:eastAsia="仿宋_GB2312" w:hAnsi="Times New Roman" w:cs="Times New Roman"/>
          <w:sz w:val="32"/>
          <w:szCs w:val="32"/>
        </w:rPr>
        <w:t>（</w:t>
      </w:r>
      <w:r>
        <w:rPr>
          <w:rFonts w:ascii="Times New Roman" w:eastAsia="仿宋_GB2312" w:hAnsi="Times New Roman" w:cs="Times New Roman"/>
          <w:sz w:val="32"/>
          <w:szCs w:val="32"/>
          <w:shd w:val="clear" w:color="auto" w:fill="FFFFFF"/>
        </w:rPr>
        <w:t>GB 7099</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shd w:val="clear" w:color="auto" w:fill="FFFFFF"/>
        </w:rPr>
        <w:t>2015</w:t>
      </w:r>
      <w:r>
        <w:rPr>
          <w:rFonts w:ascii="Times New Roman" w:eastAsia="仿宋_GB2312" w:hAnsi="Times New Roman" w:cs="Times New Roman"/>
          <w:sz w:val="32"/>
          <w:szCs w:val="32"/>
        </w:rPr>
        <w:t>）中规定，月饼一个样品的</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次检测结果均不超过</w:t>
      </w:r>
      <w:r>
        <w:rPr>
          <w:rFonts w:ascii="Times New Roman" w:eastAsia="仿宋_GB2312" w:hAnsi="Times New Roman" w:cs="Times New Roman"/>
          <w:sz w:val="32"/>
          <w:szCs w:val="32"/>
        </w:rPr>
        <w:t>100000CFU/g</w:t>
      </w:r>
      <w:r>
        <w:rPr>
          <w:rFonts w:ascii="Times New Roman" w:eastAsia="仿宋_GB2312" w:hAnsi="Times New Roman" w:cs="Times New Roman"/>
          <w:sz w:val="32"/>
          <w:szCs w:val="32"/>
        </w:rPr>
        <w:t>且至少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次检测结果不超过</w:t>
      </w:r>
      <w:r>
        <w:rPr>
          <w:rFonts w:ascii="Times New Roman" w:eastAsia="仿宋_GB2312" w:hAnsi="Times New Roman" w:cs="Times New Roman"/>
          <w:sz w:val="32"/>
          <w:szCs w:val="32"/>
        </w:rPr>
        <w:t>10000CFU/g</w:t>
      </w:r>
      <w:r>
        <w:rPr>
          <w:rFonts w:ascii="Times New Roman" w:eastAsia="仿宋_GB2312" w:hAnsi="Times New Roman" w:cs="Times New Roman"/>
          <w:kern w:val="0"/>
          <w:sz w:val="32"/>
          <w:szCs w:val="32"/>
        </w:rPr>
        <w:t>。月饼中</w:t>
      </w:r>
      <w:r>
        <w:rPr>
          <w:rFonts w:ascii="Times New Roman" w:eastAsia="仿宋_GB2312" w:hAnsi="Times New Roman" w:cs="Times New Roman"/>
          <w:sz w:val="32"/>
          <w:szCs w:val="32"/>
          <w:shd w:val="clear" w:color="auto" w:fill="FFFFFF"/>
        </w:rPr>
        <w:t>菌落总数超标的原因，可能是个别企业未按要求严格控制生产加工过程的卫生条件，或者包装容器清洗消毒不到位；还有可能与产品包装密封不严，储运条件控制不当等有关。</w:t>
      </w:r>
    </w:p>
    <w:p w:rsidR="00925EB7" w:rsidRDefault="00F54429">
      <w:pPr>
        <w:spacing w:line="594" w:lineRule="exact"/>
        <w:ind w:firstLineChars="200" w:firstLine="640"/>
        <w:rPr>
          <w:rFonts w:ascii="黑体" w:eastAsia="黑体" w:hAnsi="黑体"/>
          <w:sz w:val="32"/>
          <w:szCs w:val="32"/>
        </w:rPr>
      </w:pPr>
      <w:r>
        <w:rPr>
          <w:rFonts w:ascii="黑体" w:eastAsia="黑体" w:hAnsi="黑体"/>
          <w:sz w:val="32"/>
          <w:szCs w:val="32"/>
        </w:rPr>
        <w:t>二、霉菌</w:t>
      </w:r>
    </w:p>
    <w:p w:rsidR="00925EB7" w:rsidRDefault="00F54429">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霉菌是常见的真菌，在自然界中广泛存在。受霉菌污染后会使产品腐败变质，破坏产品的色、香、味，降低其食用价值。</w:t>
      </w:r>
      <w:r>
        <w:rPr>
          <w:rFonts w:ascii="Times New Roman" w:eastAsia="仿宋_GB2312" w:hAnsi="Times New Roman" w:cs="Times New Roman"/>
          <w:sz w:val="32"/>
          <w:szCs w:val="32"/>
          <w:shd w:val="clear" w:color="auto" w:fill="FFFFFF"/>
        </w:rPr>
        <w:t>《食品安全国家标准</w:t>
      </w:r>
      <w:r>
        <w:rPr>
          <w:rFonts w:ascii="Times New Roman" w:eastAsia="仿宋_GB2312" w:hAnsi="Times New Roman" w:cs="Times New Roman"/>
          <w:sz w:val="32"/>
          <w:szCs w:val="32"/>
          <w:shd w:val="clear" w:color="auto" w:fill="FFFFFF"/>
        </w:rPr>
        <w:t xml:space="preserve"> </w:t>
      </w:r>
      <w:r>
        <w:rPr>
          <w:rFonts w:ascii="Times New Roman" w:eastAsia="仿宋_GB2312" w:hAnsi="Times New Roman" w:cs="Times New Roman"/>
          <w:sz w:val="32"/>
          <w:szCs w:val="32"/>
          <w:shd w:val="clear" w:color="auto" w:fill="FFFFFF"/>
        </w:rPr>
        <w:t>糕点、面包》</w:t>
      </w:r>
      <w:r>
        <w:rPr>
          <w:rFonts w:ascii="Times New Roman" w:eastAsia="仿宋_GB2312" w:hAnsi="Times New Roman" w:cs="Times New Roman"/>
          <w:sz w:val="32"/>
          <w:szCs w:val="32"/>
        </w:rPr>
        <w:t>（</w:t>
      </w:r>
      <w:r>
        <w:rPr>
          <w:rFonts w:ascii="Times New Roman" w:eastAsia="仿宋_GB2312" w:hAnsi="Times New Roman" w:cs="Times New Roman"/>
          <w:sz w:val="32"/>
          <w:szCs w:val="32"/>
          <w:shd w:val="clear" w:color="auto" w:fill="FFFFFF"/>
        </w:rPr>
        <w:t>GB 7099</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shd w:val="clear" w:color="auto" w:fill="FFFFFF"/>
        </w:rPr>
        <w:t>2015</w:t>
      </w:r>
      <w:r>
        <w:rPr>
          <w:rFonts w:ascii="Times New Roman" w:eastAsia="仿宋_GB2312" w:hAnsi="Times New Roman" w:cs="Times New Roman"/>
          <w:sz w:val="32"/>
          <w:szCs w:val="32"/>
        </w:rPr>
        <w:t>）中规定，月饼中的霉菌最大限量值为</w:t>
      </w:r>
      <w:r>
        <w:rPr>
          <w:rFonts w:ascii="Times New Roman" w:eastAsia="仿宋_GB2312" w:hAnsi="Times New Roman" w:cs="Times New Roman"/>
          <w:sz w:val="32"/>
          <w:szCs w:val="32"/>
        </w:rPr>
        <w:t>150CFU/g</w:t>
      </w:r>
      <w:r>
        <w:rPr>
          <w:rFonts w:ascii="Times New Roman" w:eastAsia="仿宋_GB2312" w:hAnsi="Times New Roman" w:cs="Times New Roman"/>
          <w:sz w:val="32"/>
          <w:szCs w:val="32"/>
        </w:rPr>
        <w:t>。月饼中</w:t>
      </w:r>
      <w:r>
        <w:rPr>
          <w:rFonts w:ascii="Times New Roman" w:eastAsia="仿宋_GB2312" w:hAnsi="Times New Roman" w:cs="Times New Roman"/>
          <w:color w:val="000000"/>
          <w:kern w:val="0"/>
          <w:sz w:val="32"/>
          <w:szCs w:val="32"/>
        </w:rPr>
        <w:t>霉菌超标主要原因，可能是原料或包装材料受到霉菌污染，产品在生产加工过程中卫生条件控制不到位</w:t>
      </w:r>
      <w:r>
        <w:rPr>
          <w:rFonts w:ascii="Times New Roman" w:eastAsia="仿宋_GB2312" w:hAnsi="Times New Roman" w:cs="Times New Roman" w:hint="eastAsia"/>
          <w:color w:val="000000"/>
          <w:kern w:val="0"/>
          <w:sz w:val="32"/>
          <w:szCs w:val="32"/>
        </w:rPr>
        <w:t>；还有可能与</w:t>
      </w:r>
      <w:r>
        <w:rPr>
          <w:rFonts w:ascii="Times New Roman" w:eastAsia="仿宋_GB2312" w:hAnsi="Times New Roman" w:cs="Times New Roman"/>
          <w:color w:val="000000"/>
          <w:kern w:val="0"/>
          <w:sz w:val="32"/>
          <w:szCs w:val="32"/>
        </w:rPr>
        <w:t>生产</w:t>
      </w:r>
      <w:r w:rsidRPr="002F0A5A">
        <w:rPr>
          <w:rFonts w:ascii="Times New Roman" w:eastAsia="仿宋_GB2312" w:hAnsi="Times New Roman" w:cs="Times New Roman"/>
          <w:color w:val="000000"/>
          <w:kern w:val="0"/>
          <w:sz w:val="32"/>
          <w:szCs w:val="32"/>
        </w:rPr>
        <w:t>工</w:t>
      </w:r>
      <w:r w:rsidR="002F0A5A" w:rsidRPr="002F0A5A">
        <w:rPr>
          <w:rFonts w:ascii="Times New Roman" w:eastAsia="仿宋_GB2312" w:hAnsi="Times New Roman" w:cs="Times New Roman" w:hint="eastAsia"/>
          <w:color w:val="000000"/>
          <w:kern w:val="0"/>
          <w:sz w:val="32"/>
          <w:szCs w:val="32"/>
        </w:rPr>
        <w:t>具</w:t>
      </w:r>
      <w:r w:rsidRPr="002F0A5A">
        <w:rPr>
          <w:rFonts w:ascii="Times New Roman" w:eastAsia="仿宋_GB2312" w:hAnsi="Times New Roman" w:cs="Times New Roman"/>
          <w:color w:val="000000"/>
          <w:kern w:val="0"/>
          <w:sz w:val="32"/>
          <w:szCs w:val="32"/>
        </w:rPr>
        <w:t>器具</w:t>
      </w:r>
      <w:r>
        <w:rPr>
          <w:rFonts w:ascii="Times New Roman" w:eastAsia="仿宋_GB2312" w:hAnsi="Times New Roman" w:cs="Times New Roman"/>
          <w:color w:val="000000"/>
          <w:kern w:val="0"/>
          <w:sz w:val="32"/>
          <w:szCs w:val="32"/>
        </w:rPr>
        <w:t>等设备设施</w:t>
      </w:r>
      <w:bookmarkStart w:id="0" w:name="_GoBack"/>
      <w:bookmarkEnd w:id="0"/>
      <w:r>
        <w:rPr>
          <w:rFonts w:ascii="Times New Roman" w:eastAsia="仿宋_GB2312" w:hAnsi="Times New Roman" w:cs="Times New Roman"/>
          <w:color w:val="000000"/>
          <w:kern w:val="0"/>
          <w:sz w:val="32"/>
          <w:szCs w:val="32"/>
        </w:rPr>
        <w:t>清洗消毒不到位或产品储运条件不当</w:t>
      </w:r>
      <w:r>
        <w:rPr>
          <w:rFonts w:ascii="Times New Roman" w:eastAsia="仿宋_GB2312" w:hAnsi="Times New Roman" w:cs="Times New Roman" w:hint="eastAsia"/>
          <w:color w:val="000000"/>
          <w:kern w:val="0"/>
          <w:sz w:val="32"/>
          <w:szCs w:val="32"/>
        </w:rPr>
        <w:t>等有关</w:t>
      </w:r>
      <w:r>
        <w:rPr>
          <w:rFonts w:ascii="Times New Roman" w:eastAsia="仿宋_GB2312" w:hAnsi="Times New Roman" w:cs="Times New Roman"/>
          <w:color w:val="000000"/>
          <w:kern w:val="0"/>
          <w:sz w:val="32"/>
          <w:szCs w:val="32"/>
        </w:rPr>
        <w:t>。</w:t>
      </w:r>
    </w:p>
    <w:p w:rsidR="00925EB7" w:rsidRDefault="00F54429">
      <w:pPr>
        <w:spacing w:line="594" w:lineRule="exact"/>
        <w:ind w:firstLineChars="200" w:firstLine="640"/>
        <w:rPr>
          <w:rFonts w:ascii="黑体" w:eastAsia="黑体" w:hAnsi="黑体"/>
          <w:sz w:val="32"/>
          <w:szCs w:val="32"/>
        </w:rPr>
      </w:pPr>
      <w:r>
        <w:rPr>
          <w:rFonts w:ascii="黑体" w:eastAsia="黑体" w:hAnsi="黑体"/>
          <w:sz w:val="32"/>
          <w:szCs w:val="32"/>
        </w:rPr>
        <w:t>三、防腐剂混合使用时各自用量占其最大使用量的比例之和</w:t>
      </w:r>
    </w:p>
    <w:p w:rsidR="00925EB7" w:rsidRDefault="00F54429">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防腐剂是常见的食品添加剂，能抑制微生物的生长繁殖，防止食品腐败变质从而延长保质期。《食品安全国家标</w:t>
      </w:r>
      <w:r>
        <w:rPr>
          <w:rFonts w:ascii="Times New Roman" w:eastAsia="仿宋_GB2312" w:hAnsi="Times New Roman" w:cs="Times New Roman"/>
          <w:spacing w:val="-20"/>
          <w:sz w:val="32"/>
          <w:szCs w:val="32"/>
        </w:rPr>
        <w:t>准</w:t>
      </w:r>
      <w:r>
        <w:rPr>
          <w:rFonts w:ascii="Times New Roman" w:eastAsia="仿宋_GB2312" w:hAnsi="Times New Roman" w:cs="Times New Roman"/>
          <w:spacing w:val="-20"/>
          <w:sz w:val="32"/>
          <w:szCs w:val="32"/>
        </w:rPr>
        <w:t xml:space="preserve"> </w:t>
      </w:r>
      <w:r>
        <w:rPr>
          <w:rFonts w:ascii="Times New Roman" w:eastAsia="仿宋_GB2312" w:hAnsi="Times New Roman" w:cs="Times New Roman"/>
          <w:spacing w:val="-20"/>
          <w:sz w:val="32"/>
          <w:szCs w:val="32"/>
        </w:rPr>
        <w:t>食</w:t>
      </w:r>
      <w:r>
        <w:rPr>
          <w:rFonts w:ascii="Times New Roman" w:eastAsia="仿宋_GB2312" w:hAnsi="Times New Roman" w:cs="Times New Roman"/>
          <w:sz w:val="32"/>
          <w:szCs w:val="32"/>
        </w:rPr>
        <w:t>品添加剂使用标准》</w:t>
      </w:r>
      <w:r>
        <w:rPr>
          <w:rFonts w:ascii="Times New Roman" w:eastAsia="仿宋_GB2312" w:hAnsi="Times New Roman" w:cs="Times New Roman"/>
          <w:spacing w:val="-20"/>
          <w:sz w:val="32"/>
          <w:szCs w:val="32"/>
        </w:rPr>
        <w:t>（</w:t>
      </w:r>
      <w:r>
        <w:rPr>
          <w:rFonts w:ascii="Times New Roman" w:eastAsia="仿宋_GB2312" w:hAnsi="Times New Roman" w:cs="Times New Roman"/>
          <w:color w:val="000000"/>
          <w:kern w:val="0"/>
          <w:sz w:val="32"/>
          <w:szCs w:val="32"/>
          <w:shd w:val="clear" w:color="auto" w:fill="FFFFFF"/>
        </w:rPr>
        <w:t>GB 2760</w:t>
      </w:r>
      <w:r>
        <w:rPr>
          <w:rFonts w:ascii="仿宋_GB2312" w:eastAsia="仿宋_GB2312" w:hAnsi="仿宋_GB2312" w:cs="仿宋_GB2312" w:hint="eastAsia"/>
          <w:color w:val="000000"/>
          <w:kern w:val="0"/>
          <w:sz w:val="32"/>
          <w:szCs w:val="32"/>
          <w:shd w:val="clear" w:color="auto" w:fill="FFFFFF"/>
        </w:rPr>
        <w:t>—</w:t>
      </w:r>
      <w:r>
        <w:rPr>
          <w:rFonts w:ascii="Times New Roman" w:eastAsia="仿宋_GB2312" w:hAnsi="Times New Roman" w:cs="Times New Roman"/>
          <w:color w:val="000000"/>
          <w:kern w:val="0"/>
          <w:sz w:val="32"/>
          <w:szCs w:val="32"/>
          <w:shd w:val="clear" w:color="auto" w:fill="FFFFFF"/>
        </w:rPr>
        <w:t>2014</w:t>
      </w:r>
      <w:r>
        <w:rPr>
          <w:rFonts w:ascii="Times New Roman" w:eastAsia="仿宋_GB2312" w:hAnsi="Times New Roman" w:cs="Times New Roman"/>
          <w:spacing w:val="-20"/>
          <w:sz w:val="32"/>
          <w:szCs w:val="32"/>
        </w:rPr>
        <w:t>）</w:t>
      </w:r>
      <w:r>
        <w:rPr>
          <w:rFonts w:ascii="Times New Roman" w:eastAsia="仿宋_GB2312" w:hAnsi="Times New Roman" w:cs="Times New Roman"/>
          <w:sz w:val="32"/>
          <w:szCs w:val="32"/>
        </w:rPr>
        <w:t>中规定，防腐剂在混合使用时，各自用量占其最大使用量的比例之和不应超过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。月饼中防腐剂混合使用时各自用量占其最大使用量的比例之和超标的原因，可能是生产厂商对国家标准不了解或了解得不够透彻，随意添加多种防腐剂所致</w:t>
      </w:r>
      <w:r>
        <w:rPr>
          <w:rFonts w:ascii="Times New Roman" w:eastAsia="仿宋_GB2312" w:hAnsi="Times New Roman" w:cs="Times New Roman" w:hint="eastAsia"/>
          <w:sz w:val="32"/>
          <w:szCs w:val="32"/>
        </w:rPr>
        <w:t>。</w:t>
      </w:r>
    </w:p>
    <w:p w:rsidR="00925EB7" w:rsidRDefault="00F54429">
      <w:pPr>
        <w:spacing w:line="594" w:lineRule="exact"/>
        <w:ind w:firstLineChars="200" w:firstLine="640"/>
        <w:rPr>
          <w:rFonts w:ascii="黑体" w:eastAsia="黑体" w:hAnsi="黑体"/>
          <w:sz w:val="32"/>
          <w:szCs w:val="32"/>
        </w:rPr>
      </w:pPr>
      <w:r>
        <w:rPr>
          <w:rFonts w:ascii="黑体" w:eastAsia="黑体" w:hAnsi="黑体"/>
          <w:sz w:val="32"/>
          <w:szCs w:val="32"/>
        </w:rPr>
        <w:t>四、脱氢乙酸及其钠盐（以脱氢乙酸计）</w:t>
      </w:r>
    </w:p>
    <w:p w:rsidR="00925EB7" w:rsidRDefault="00F54429">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在食品生产中，脱氢乙酸及其钠盐作为一种广谱防腐剂，对霉菌和酵母菌的抑菌能力强。《食品安全国家标准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食品添加剂使用标准》（</w:t>
      </w:r>
      <w:r>
        <w:rPr>
          <w:rFonts w:ascii="Times New Roman" w:eastAsia="仿宋_GB2312" w:hAnsi="Times New Roman" w:cs="Times New Roman"/>
          <w:sz w:val="32"/>
          <w:szCs w:val="32"/>
        </w:rPr>
        <w:t>GB 2760</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）中规定，月饼中脱氢乙酸及其钠盐的最大使用量应不超过</w:t>
      </w:r>
      <w:r>
        <w:rPr>
          <w:rFonts w:ascii="Times New Roman" w:eastAsia="仿宋_GB2312" w:hAnsi="Times New Roman" w:cs="Times New Roman"/>
          <w:sz w:val="32"/>
          <w:szCs w:val="32"/>
        </w:rPr>
        <w:t>0.5g/kg</w:t>
      </w:r>
      <w:r>
        <w:rPr>
          <w:rFonts w:ascii="Times New Roman" w:eastAsia="仿宋_GB2312" w:hAnsi="Times New Roman" w:cs="Times New Roman"/>
          <w:sz w:val="32"/>
          <w:szCs w:val="32"/>
        </w:rPr>
        <w:t>。月饼中脱氢乙酸及其钠盐</w:t>
      </w:r>
      <w:r>
        <w:rPr>
          <w:rFonts w:ascii="Times New Roman" w:eastAsia="仿宋_GB2312" w:hAnsi="Times New Roman" w:cs="Times New Roman" w:hint="eastAsia"/>
          <w:sz w:val="32"/>
          <w:szCs w:val="32"/>
        </w:rPr>
        <w:t>超标</w:t>
      </w:r>
      <w:r>
        <w:rPr>
          <w:rFonts w:ascii="Times New Roman" w:eastAsia="仿宋_GB2312" w:hAnsi="Times New Roman" w:cs="Times New Roman"/>
          <w:sz w:val="32"/>
          <w:szCs w:val="32"/>
        </w:rPr>
        <w:t>的原因，可能是个别企业为防止食品腐败变质，超限量使用了该添加剂，也可能是在添加过程中未计量或计量不准确。脱氢乙酸及其钠盐能迅速而完全地被人体组织所吸收，进入人体后即分散于血浆和许多的器官中，有抑制体内多种氧化酶的作用，长期食用脱氢乙酸及其钠盐超标的食品，可能对人体造成一定危害。</w:t>
      </w:r>
    </w:p>
    <w:p w:rsidR="00925EB7" w:rsidRDefault="00F54429">
      <w:pPr>
        <w:spacing w:line="594" w:lineRule="exact"/>
        <w:ind w:firstLineChars="200" w:firstLine="640"/>
        <w:rPr>
          <w:rFonts w:ascii="黑体" w:eastAsia="黑体" w:hAnsi="黑体"/>
          <w:sz w:val="32"/>
          <w:szCs w:val="32"/>
        </w:rPr>
      </w:pPr>
      <w:r>
        <w:rPr>
          <w:rFonts w:ascii="黑体" w:eastAsia="黑体" w:hAnsi="黑体"/>
          <w:sz w:val="32"/>
          <w:szCs w:val="32"/>
        </w:rPr>
        <w:t>五、酸价（以脂肪计）</w:t>
      </w:r>
    </w:p>
    <w:p w:rsidR="00925EB7" w:rsidRDefault="00F54429">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酸价主要反映食品中的油脂酸败程度。《食品安全国家标准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糕点、面包》（</w:t>
      </w:r>
      <w:r>
        <w:rPr>
          <w:rFonts w:ascii="Times New Roman" w:eastAsia="仿宋_GB2312" w:hAnsi="Times New Roman" w:cs="Times New Roman"/>
          <w:sz w:val="32"/>
          <w:szCs w:val="32"/>
        </w:rPr>
        <w:t>GB 7099</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2015</w:t>
      </w:r>
      <w:r>
        <w:rPr>
          <w:rFonts w:ascii="Times New Roman" w:eastAsia="仿宋_GB2312" w:hAnsi="Times New Roman" w:cs="Times New Roman"/>
          <w:sz w:val="32"/>
          <w:szCs w:val="32"/>
        </w:rPr>
        <w:t>）中规定，酸价（以脂肪计）在糕点中最大限量值为</w:t>
      </w:r>
      <w:r>
        <w:rPr>
          <w:rFonts w:ascii="Times New Roman" w:eastAsia="仿宋_GB2312" w:hAnsi="Times New Roman" w:cs="Times New Roman"/>
          <w:sz w:val="32"/>
          <w:szCs w:val="32"/>
        </w:rPr>
        <w:t>5mg/g</w:t>
      </w:r>
      <w:r>
        <w:rPr>
          <w:rFonts w:ascii="Times New Roman" w:eastAsia="仿宋_GB2312" w:hAnsi="Times New Roman" w:cs="Times New Roman"/>
          <w:sz w:val="32"/>
          <w:szCs w:val="32"/>
        </w:rPr>
        <w:t>。月饼中酸价超标的原因，可能与企业原料采购把关不严、生产工艺不达标或产品储藏条件不当等有</w:t>
      </w:r>
      <w:r>
        <w:rPr>
          <w:rFonts w:ascii="Times New Roman" w:eastAsia="仿宋_GB2312" w:hAnsi="Times New Roman" w:cs="Times New Roman"/>
          <w:sz w:val="32"/>
          <w:szCs w:val="32"/>
        </w:rPr>
        <w:lastRenderedPageBreak/>
        <w:t>关，特别是存贮温度较高时易导致食品中的脂肪氧化酸败致使酸价超标。酸价超标的食品会有哈喇味，超标严重时所产生的醛、酮、酸会破坏脂溶性维生素，食用后会导致肠胃不适、腹泻并损害肝脏。</w:t>
      </w:r>
    </w:p>
    <w:sectPr w:rsidR="00925EB7" w:rsidSect="00925EB7">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429" w:rsidRDefault="00F54429" w:rsidP="00925EB7">
      <w:r>
        <w:separator/>
      </w:r>
    </w:p>
  </w:endnote>
  <w:endnote w:type="continuationSeparator" w:id="1">
    <w:p w:rsidR="00F54429" w:rsidRDefault="00F54429" w:rsidP="00925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087551"/>
    </w:sdtPr>
    <w:sdtContent>
      <w:p w:rsidR="00925EB7" w:rsidRDefault="00120A42">
        <w:pPr>
          <w:pStyle w:val="a5"/>
          <w:jc w:val="center"/>
        </w:pPr>
        <w:r>
          <w:fldChar w:fldCharType="begin"/>
        </w:r>
        <w:r w:rsidR="00F54429">
          <w:instrText>PAGE   \* MERGEFORMAT</w:instrText>
        </w:r>
        <w:r>
          <w:fldChar w:fldCharType="separate"/>
        </w:r>
        <w:r w:rsidR="00DA0469" w:rsidRPr="00DA0469">
          <w:rPr>
            <w:noProof/>
            <w:lang w:val="zh-CN"/>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429" w:rsidRDefault="00F54429" w:rsidP="00925EB7">
      <w:r>
        <w:separator/>
      </w:r>
    </w:p>
  </w:footnote>
  <w:footnote w:type="continuationSeparator" w:id="1">
    <w:p w:rsidR="00F54429" w:rsidRDefault="00F54429" w:rsidP="00925E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revisionView w:markup="0"/>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F03"/>
    <w:rsid w:val="0000231D"/>
    <w:rsid w:val="0000397C"/>
    <w:rsid w:val="000506C6"/>
    <w:rsid w:val="00057C9D"/>
    <w:rsid w:val="0006147E"/>
    <w:rsid w:val="0007233C"/>
    <w:rsid w:val="00073F8A"/>
    <w:rsid w:val="00075870"/>
    <w:rsid w:val="000800AE"/>
    <w:rsid w:val="00082CA4"/>
    <w:rsid w:val="0008412D"/>
    <w:rsid w:val="00097E5A"/>
    <w:rsid w:val="000A1CA7"/>
    <w:rsid w:val="000A750B"/>
    <w:rsid w:val="000C15AC"/>
    <w:rsid w:val="000C5E78"/>
    <w:rsid w:val="000D352B"/>
    <w:rsid w:val="000D7DB8"/>
    <w:rsid w:val="000E50D5"/>
    <w:rsid w:val="000F4A57"/>
    <w:rsid w:val="000F4B86"/>
    <w:rsid w:val="00102897"/>
    <w:rsid w:val="00110C1F"/>
    <w:rsid w:val="00112071"/>
    <w:rsid w:val="00113712"/>
    <w:rsid w:val="00120A42"/>
    <w:rsid w:val="00120CFE"/>
    <w:rsid w:val="00124BDE"/>
    <w:rsid w:val="00126302"/>
    <w:rsid w:val="00131F1B"/>
    <w:rsid w:val="00143CEB"/>
    <w:rsid w:val="001469CF"/>
    <w:rsid w:val="00150D3C"/>
    <w:rsid w:val="0015289F"/>
    <w:rsid w:val="00156C2C"/>
    <w:rsid w:val="00162295"/>
    <w:rsid w:val="00165889"/>
    <w:rsid w:val="0016724E"/>
    <w:rsid w:val="0017672B"/>
    <w:rsid w:val="001901F9"/>
    <w:rsid w:val="00193927"/>
    <w:rsid w:val="001A4EB4"/>
    <w:rsid w:val="001A6ADF"/>
    <w:rsid w:val="001C4310"/>
    <w:rsid w:val="001E7C5C"/>
    <w:rsid w:val="001F1502"/>
    <w:rsid w:val="00226B10"/>
    <w:rsid w:val="002372CC"/>
    <w:rsid w:val="00256DEF"/>
    <w:rsid w:val="00260FFE"/>
    <w:rsid w:val="00261C11"/>
    <w:rsid w:val="002875C6"/>
    <w:rsid w:val="0029364F"/>
    <w:rsid w:val="002D2547"/>
    <w:rsid w:val="002F0A5A"/>
    <w:rsid w:val="002F1A53"/>
    <w:rsid w:val="002F4A5C"/>
    <w:rsid w:val="00300325"/>
    <w:rsid w:val="003022CD"/>
    <w:rsid w:val="00306096"/>
    <w:rsid w:val="0034206F"/>
    <w:rsid w:val="003437FE"/>
    <w:rsid w:val="0034436D"/>
    <w:rsid w:val="003455E6"/>
    <w:rsid w:val="00357F27"/>
    <w:rsid w:val="00362896"/>
    <w:rsid w:val="003703FD"/>
    <w:rsid w:val="00383988"/>
    <w:rsid w:val="0038633A"/>
    <w:rsid w:val="003910C5"/>
    <w:rsid w:val="003A243B"/>
    <w:rsid w:val="003D473C"/>
    <w:rsid w:val="003D51C0"/>
    <w:rsid w:val="003D78CA"/>
    <w:rsid w:val="003E4E18"/>
    <w:rsid w:val="003F7276"/>
    <w:rsid w:val="00407670"/>
    <w:rsid w:val="00412DAF"/>
    <w:rsid w:val="0041724F"/>
    <w:rsid w:val="00417336"/>
    <w:rsid w:val="004364F8"/>
    <w:rsid w:val="0043783B"/>
    <w:rsid w:val="004405E2"/>
    <w:rsid w:val="004478FC"/>
    <w:rsid w:val="0045394C"/>
    <w:rsid w:val="00471090"/>
    <w:rsid w:val="00485881"/>
    <w:rsid w:val="0049418F"/>
    <w:rsid w:val="00494BF9"/>
    <w:rsid w:val="00495D05"/>
    <w:rsid w:val="004A654B"/>
    <w:rsid w:val="004A73D7"/>
    <w:rsid w:val="004C2EFF"/>
    <w:rsid w:val="004C6392"/>
    <w:rsid w:val="004D2A8A"/>
    <w:rsid w:val="004D734A"/>
    <w:rsid w:val="004E3A22"/>
    <w:rsid w:val="004E7183"/>
    <w:rsid w:val="004F206E"/>
    <w:rsid w:val="004F3D58"/>
    <w:rsid w:val="00520B43"/>
    <w:rsid w:val="00523582"/>
    <w:rsid w:val="00526FCB"/>
    <w:rsid w:val="005317AB"/>
    <w:rsid w:val="00534A48"/>
    <w:rsid w:val="00540E76"/>
    <w:rsid w:val="00546FD2"/>
    <w:rsid w:val="0055475A"/>
    <w:rsid w:val="0057056D"/>
    <w:rsid w:val="0057524F"/>
    <w:rsid w:val="005771A5"/>
    <w:rsid w:val="00580A09"/>
    <w:rsid w:val="0058530C"/>
    <w:rsid w:val="005918CF"/>
    <w:rsid w:val="00593DD9"/>
    <w:rsid w:val="005A54D2"/>
    <w:rsid w:val="005B58B4"/>
    <w:rsid w:val="005C1007"/>
    <w:rsid w:val="005D7D45"/>
    <w:rsid w:val="005F459B"/>
    <w:rsid w:val="005F6EA3"/>
    <w:rsid w:val="00606413"/>
    <w:rsid w:val="00613BF8"/>
    <w:rsid w:val="006256E1"/>
    <w:rsid w:val="00654FF5"/>
    <w:rsid w:val="00662754"/>
    <w:rsid w:val="00674ABF"/>
    <w:rsid w:val="006807AC"/>
    <w:rsid w:val="00681295"/>
    <w:rsid w:val="00687316"/>
    <w:rsid w:val="006A5576"/>
    <w:rsid w:val="006C3D93"/>
    <w:rsid w:val="006C594A"/>
    <w:rsid w:val="006F32DE"/>
    <w:rsid w:val="006F490A"/>
    <w:rsid w:val="006F7339"/>
    <w:rsid w:val="00700879"/>
    <w:rsid w:val="00703864"/>
    <w:rsid w:val="00713D9D"/>
    <w:rsid w:val="007158BD"/>
    <w:rsid w:val="00724AE7"/>
    <w:rsid w:val="007304AC"/>
    <w:rsid w:val="00742115"/>
    <w:rsid w:val="00743A76"/>
    <w:rsid w:val="007505B0"/>
    <w:rsid w:val="00752908"/>
    <w:rsid w:val="0077575E"/>
    <w:rsid w:val="0077710D"/>
    <w:rsid w:val="00783A82"/>
    <w:rsid w:val="00790785"/>
    <w:rsid w:val="00795910"/>
    <w:rsid w:val="007E4548"/>
    <w:rsid w:val="007E6B41"/>
    <w:rsid w:val="007F0A74"/>
    <w:rsid w:val="007F415D"/>
    <w:rsid w:val="00804CA1"/>
    <w:rsid w:val="008117B8"/>
    <w:rsid w:val="008165F3"/>
    <w:rsid w:val="00821CE5"/>
    <w:rsid w:val="00844135"/>
    <w:rsid w:val="00855D39"/>
    <w:rsid w:val="008753EA"/>
    <w:rsid w:val="00880F04"/>
    <w:rsid w:val="00882843"/>
    <w:rsid w:val="00893B31"/>
    <w:rsid w:val="00895177"/>
    <w:rsid w:val="008A53B1"/>
    <w:rsid w:val="008D236C"/>
    <w:rsid w:val="008D7ECA"/>
    <w:rsid w:val="0090504A"/>
    <w:rsid w:val="00906730"/>
    <w:rsid w:val="009171D7"/>
    <w:rsid w:val="00925EB7"/>
    <w:rsid w:val="009479E7"/>
    <w:rsid w:val="0097294A"/>
    <w:rsid w:val="009756BD"/>
    <w:rsid w:val="009A0DC6"/>
    <w:rsid w:val="009B17D9"/>
    <w:rsid w:val="009B1CE0"/>
    <w:rsid w:val="009C2713"/>
    <w:rsid w:val="009C78F5"/>
    <w:rsid w:val="009E0C03"/>
    <w:rsid w:val="009E252B"/>
    <w:rsid w:val="009E2E12"/>
    <w:rsid w:val="009F3FF4"/>
    <w:rsid w:val="009F4B8A"/>
    <w:rsid w:val="009F7A51"/>
    <w:rsid w:val="00A00833"/>
    <w:rsid w:val="00A03527"/>
    <w:rsid w:val="00A05808"/>
    <w:rsid w:val="00A1575B"/>
    <w:rsid w:val="00A20BC7"/>
    <w:rsid w:val="00A23CDD"/>
    <w:rsid w:val="00A318CE"/>
    <w:rsid w:val="00A339B7"/>
    <w:rsid w:val="00A359D9"/>
    <w:rsid w:val="00A370EE"/>
    <w:rsid w:val="00A43251"/>
    <w:rsid w:val="00A62908"/>
    <w:rsid w:val="00A63D56"/>
    <w:rsid w:val="00A77B51"/>
    <w:rsid w:val="00A90FD3"/>
    <w:rsid w:val="00A9629A"/>
    <w:rsid w:val="00AA29E0"/>
    <w:rsid w:val="00AB0288"/>
    <w:rsid w:val="00AB1112"/>
    <w:rsid w:val="00AB3E33"/>
    <w:rsid w:val="00AB7501"/>
    <w:rsid w:val="00AC0185"/>
    <w:rsid w:val="00AC6FED"/>
    <w:rsid w:val="00AC79C1"/>
    <w:rsid w:val="00AD214B"/>
    <w:rsid w:val="00AD4B26"/>
    <w:rsid w:val="00AE23AC"/>
    <w:rsid w:val="00AF09AE"/>
    <w:rsid w:val="00B00F0B"/>
    <w:rsid w:val="00B042F7"/>
    <w:rsid w:val="00B06B68"/>
    <w:rsid w:val="00B147BF"/>
    <w:rsid w:val="00B2770C"/>
    <w:rsid w:val="00B500F9"/>
    <w:rsid w:val="00B50D80"/>
    <w:rsid w:val="00B60BFA"/>
    <w:rsid w:val="00B62258"/>
    <w:rsid w:val="00B7205D"/>
    <w:rsid w:val="00B74451"/>
    <w:rsid w:val="00B81E79"/>
    <w:rsid w:val="00B87BDE"/>
    <w:rsid w:val="00BA54E8"/>
    <w:rsid w:val="00BC143C"/>
    <w:rsid w:val="00BC5A14"/>
    <w:rsid w:val="00BC6C29"/>
    <w:rsid w:val="00BD5603"/>
    <w:rsid w:val="00BE115B"/>
    <w:rsid w:val="00BF3BE6"/>
    <w:rsid w:val="00C24969"/>
    <w:rsid w:val="00C32795"/>
    <w:rsid w:val="00C3300F"/>
    <w:rsid w:val="00C54D2B"/>
    <w:rsid w:val="00C57661"/>
    <w:rsid w:val="00C866ED"/>
    <w:rsid w:val="00C903D2"/>
    <w:rsid w:val="00CA2437"/>
    <w:rsid w:val="00CC4441"/>
    <w:rsid w:val="00CC5731"/>
    <w:rsid w:val="00CD571D"/>
    <w:rsid w:val="00CE0330"/>
    <w:rsid w:val="00CE13D2"/>
    <w:rsid w:val="00CE7DAB"/>
    <w:rsid w:val="00CF0D96"/>
    <w:rsid w:val="00D11774"/>
    <w:rsid w:val="00D16C55"/>
    <w:rsid w:val="00D2271C"/>
    <w:rsid w:val="00D413F8"/>
    <w:rsid w:val="00D457D8"/>
    <w:rsid w:val="00D60EB7"/>
    <w:rsid w:val="00D61881"/>
    <w:rsid w:val="00D74FAD"/>
    <w:rsid w:val="00D762A4"/>
    <w:rsid w:val="00D8102F"/>
    <w:rsid w:val="00D948CC"/>
    <w:rsid w:val="00D97A82"/>
    <w:rsid w:val="00DA0469"/>
    <w:rsid w:val="00DA0ECE"/>
    <w:rsid w:val="00DB0017"/>
    <w:rsid w:val="00DB0FE9"/>
    <w:rsid w:val="00DB254E"/>
    <w:rsid w:val="00DC1630"/>
    <w:rsid w:val="00DC6F34"/>
    <w:rsid w:val="00DD6236"/>
    <w:rsid w:val="00DD7850"/>
    <w:rsid w:val="00DE52CB"/>
    <w:rsid w:val="00DF017C"/>
    <w:rsid w:val="00E202AF"/>
    <w:rsid w:val="00E266F9"/>
    <w:rsid w:val="00E45F03"/>
    <w:rsid w:val="00E46996"/>
    <w:rsid w:val="00E5769E"/>
    <w:rsid w:val="00E610CF"/>
    <w:rsid w:val="00E6449A"/>
    <w:rsid w:val="00E710FB"/>
    <w:rsid w:val="00E764E7"/>
    <w:rsid w:val="00E822B4"/>
    <w:rsid w:val="00E86B5A"/>
    <w:rsid w:val="00EB0390"/>
    <w:rsid w:val="00EB5D9A"/>
    <w:rsid w:val="00EF2FC7"/>
    <w:rsid w:val="00EF73EB"/>
    <w:rsid w:val="00F04BE5"/>
    <w:rsid w:val="00F17545"/>
    <w:rsid w:val="00F23181"/>
    <w:rsid w:val="00F372B7"/>
    <w:rsid w:val="00F54429"/>
    <w:rsid w:val="00F56DA2"/>
    <w:rsid w:val="00F64B8F"/>
    <w:rsid w:val="00F675A5"/>
    <w:rsid w:val="00F73C8E"/>
    <w:rsid w:val="00F7557A"/>
    <w:rsid w:val="00FA1DEB"/>
    <w:rsid w:val="00FB4D20"/>
    <w:rsid w:val="00FC246E"/>
    <w:rsid w:val="00FE1AF9"/>
    <w:rsid w:val="00FE7048"/>
    <w:rsid w:val="00FF0732"/>
    <w:rsid w:val="00FF4420"/>
    <w:rsid w:val="00FF53BD"/>
    <w:rsid w:val="01015845"/>
    <w:rsid w:val="03534868"/>
    <w:rsid w:val="04B1419F"/>
    <w:rsid w:val="0A4338EE"/>
    <w:rsid w:val="0AA0268A"/>
    <w:rsid w:val="0AA84623"/>
    <w:rsid w:val="0EDB72B5"/>
    <w:rsid w:val="129930EB"/>
    <w:rsid w:val="13880F77"/>
    <w:rsid w:val="14C80B3A"/>
    <w:rsid w:val="16A35A75"/>
    <w:rsid w:val="1AAE713E"/>
    <w:rsid w:val="1BEE642E"/>
    <w:rsid w:val="1CFD7F09"/>
    <w:rsid w:val="1EAD7DE2"/>
    <w:rsid w:val="1F9B3F36"/>
    <w:rsid w:val="200D66B5"/>
    <w:rsid w:val="20B27572"/>
    <w:rsid w:val="21E01B46"/>
    <w:rsid w:val="21F66977"/>
    <w:rsid w:val="220A02C3"/>
    <w:rsid w:val="240653BA"/>
    <w:rsid w:val="27A2060B"/>
    <w:rsid w:val="294C5468"/>
    <w:rsid w:val="2C1F1C4A"/>
    <w:rsid w:val="2D247D83"/>
    <w:rsid w:val="2D3A7919"/>
    <w:rsid w:val="2D53413D"/>
    <w:rsid w:val="2FEE5EAD"/>
    <w:rsid w:val="30005BF5"/>
    <w:rsid w:val="302628E3"/>
    <w:rsid w:val="317B3B92"/>
    <w:rsid w:val="327A738A"/>
    <w:rsid w:val="32D65BD5"/>
    <w:rsid w:val="336A4018"/>
    <w:rsid w:val="38AE3672"/>
    <w:rsid w:val="39B07284"/>
    <w:rsid w:val="3A847846"/>
    <w:rsid w:val="3A85056B"/>
    <w:rsid w:val="3B0E1A80"/>
    <w:rsid w:val="3BA67A00"/>
    <w:rsid w:val="3EA23C86"/>
    <w:rsid w:val="44474837"/>
    <w:rsid w:val="4551266C"/>
    <w:rsid w:val="46EF5C93"/>
    <w:rsid w:val="49B31060"/>
    <w:rsid w:val="4D642E29"/>
    <w:rsid w:val="5169153F"/>
    <w:rsid w:val="51887C86"/>
    <w:rsid w:val="51A1140D"/>
    <w:rsid w:val="521139B5"/>
    <w:rsid w:val="568274CF"/>
    <w:rsid w:val="5CF97DDB"/>
    <w:rsid w:val="5F632DE5"/>
    <w:rsid w:val="60EC26CE"/>
    <w:rsid w:val="617E2342"/>
    <w:rsid w:val="675D3612"/>
    <w:rsid w:val="692F67A9"/>
    <w:rsid w:val="6A2D7FF0"/>
    <w:rsid w:val="6DB05B3C"/>
    <w:rsid w:val="6E357582"/>
    <w:rsid w:val="6E6828A9"/>
    <w:rsid w:val="6E844765"/>
    <w:rsid w:val="72E341BC"/>
    <w:rsid w:val="7552430C"/>
    <w:rsid w:val="759D1CBC"/>
    <w:rsid w:val="76090088"/>
    <w:rsid w:val="775561E2"/>
    <w:rsid w:val="7D6A32B0"/>
    <w:rsid w:val="7E7D3AE4"/>
    <w:rsid w:val="7F90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EB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925EB7"/>
    <w:pPr>
      <w:jc w:val="left"/>
    </w:pPr>
  </w:style>
  <w:style w:type="paragraph" w:styleId="a4">
    <w:name w:val="Balloon Text"/>
    <w:basedOn w:val="a"/>
    <w:link w:val="Char0"/>
    <w:uiPriority w:val="99"/>
    <w:unhideWhenUsed/>
    <w:qFormat/>
    <w:rsid w:val="00925EB7"/>
    <w:rPr>
      <w:sz w:val="18"/>
      <w:szCs w:val="18"/>
    </w:rPr>
  </w:style>
  <w:style w:type="paragraph" w:styleId="a5">
    <w:name w:val="footer"/>
    <w:basedOn w:val="a"/>
    <w:link w:val="Char1"/>
    <w:uiPriority w:val="99"/>
    <w:unhideWhenUsed/>
    <w:qFormat/>
    <w:rsid w:val="00925EB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25EB7"/>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unhideWhenUsed/>
    <w:qFormat/>
    <w:rsid w:val="00925EB7"/>
    <w:rPr>
      <w:b/>
      <w:bCs/>
    </w:rPr>
  </w:style>
  <w:style w:type="character" w:styleId="a8">
    <w:name w:val="annotation reference"/>
    <w:basedOn w:val="a0"/>
    <w:uiPriority w:val="99"/>
    <w:unhideWhenUsed/>
    <w:qFormat/>
    <w:rsid w:val="00925EB7"/>
    <w:rPr>
      <w:sz w:val="21"/>
      <w:szCs w:val="21"/>
    </w:rPr>
  </w:style>
  <w:style w:type="character" w:customStyle="1" w:styleId="Char2">
    <w:name w:val="页眉 Char"/>
    <w:basedOn w:val="a0"/>
    <w:link w:val="a6"/>
    <w:uiPriority w:val="99"/>
    <w:qFormat/>
    <w:rsid w:val="00925EB7"/>
    <w:rPr>
      <w:sz w:val="18"/>
      <w:szCs w:val="18"/>
    </w:rPr>
  </w:style>
  <w:style w:type="character" w:customStyle="1" w:styleId="Char1">
    <w:name w:val="页脚 Char"/>
    <w:basedOn w:val="a0"/>
    <w:link w:val="a5"/>
    <w:uiPriority w:val="99"/>
    <w:qFormat/>
    <w:rsid w:val="00925EB7"/>
    <w:rPr>
      <w:sz w:val="18"/>
      <w:szCs w:val="18"/>
    </w:rPr>
  </w:style>
  <w:style w:type="paragraph" w:customStyle="1" w:styleId="1">
    <w:name w:val="列出段落1"/>
    <w:basedOn w:val="a"/>
    <w:uiPriority w:val="34"/>
    <w:qFormat/>
    <w:rsid w:val="00925EB7"/>
    <w:pPr>
      <w:ind w:firstLineChars="200" w:firstLine="420"/>
    </w:pPr>
  </w:style>
  <w:style w:type="character" w:customStyle="1" w:styleId="Char0">
    <w:name w:val="批注框文本 Char"/>
    <w:basedOn w:val="a0"/>
    <w:link w:val="a4"/>
    <w:uiPriority w:val="99"/>
    <w:semiHidden/>
    <w:qFormat/>
    <w:rsid w:val="00925EB7"/>
    <w:rPr>
      <w:sz w:val="18"/>
      <w:szCs w:val="18"/>
    </w:rPr>
  </w:style>
  <w:style w:type="character" w:customStyle="1" w:styleId="Char">
    <w:name w:val="批注文字 Char"/>
    <w:basedOn w:val="a0"/>
    <w:link w:val="a3"/>
    <w:uiPriority w:val="99"/>
    <w:semiHidden/>
    <w:qFormat/>
    <w:rsid w:val="00925EB7"/>
  </w:style>
  <w:style w:type="character" w:customStyle="1" w:styleId="Char3">
    <w:name w:val="批注主题 Char"/>
    <w:basedOn w:val="Char"/>
    <w:link w:val="a7"/>
    <w:uiPriority w:val="99"/>
    <w:semiHidden/>
    <w:qFormat/>
    <w:rsid w:val="00925EB7"/>
    <w:rPr>
      <w:b/>
      <w:bCs/>
    </w:rPr>
  </w:style>
  <w:style w:type="paragraph" w:customStyle="1" w:styleId="10">
    <w:name w:val="修订1"/>
    <w:hidden/>
    <w:uiPriority w:val="99"/>
    <w:semiHidden/>
    <w:qFormat/>
    <w:rsid w:val="00925EB7"/>
    <w:rPr>
      <w:rFonts w:asciiTheme="minorHAnsi" w:eastAsiaTheme="minorEastAsia" w:hAnsiTheme="minorHAnsi" w:cstheme="minorBidi"/>
      <w:kern w:val="2"/>
      <w:sz w:val="21"/>
      <w:szCs w:val="22"/>
    </w:rPr>
  </w:style>
  <w:style w:type="paragraph" w:customStyle="1" w:styleId="Default">
    <w:name w:val="Default"/>
    <w:qFormat/>
    <w:rsid w:val="00925EB7"/>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8A98471-AF43-4ED6-88B7-1DECFB5348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170</Words>
  <Characters>969</Characters>
  <Application>Microsoft Office Word</Application>
  <DocSecurity>0</DocSecurity>
  <Lines>8</Lines>
  <Paragraphs>2</Paragraphs>
  <ScaleCrop>false</ScaleCrop>
  <Company>http://sdwm.org</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高晗</cp:lastModifiedBy>
  <cp:revision>2</cp:revision>
  <cp:lastPrinted>2016-09-01T02:58:00Z</cp:lastPrinted>
  <dcterms:created xsi:type="dcterms:W3CDTF">2019-09-06T01:28:00Z</dcterms:created>
  <dcterms:modified xsi:type="dcterms:W3CDTF">2019-09-06T01:28:00Z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